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CD" w:rsidRPr="00763B6A" w:rsidRDefault="00F33763">
      <w:pPr>
        <w:rPr>
          <w:rFonts w:ascii="Arial" w:hAnsi="Arial" w:cs="Arial"/>
          <w:b/>
          <w:sz w:val="24"/>
          <w:szCs w:val="24"/>
        </w:rPr>
      </w:pPr>
      <w:r w:rsidRPr="00763B6A">
        <w:rPr>
          <w:rFonts w:ascii="Arial" w:hAnsi="Arial" w:cs="Arial"/>
          <w:b/>
          <w:sz w:val="24"/>
          <w:szCs w:val="24"/>
        </w:rPr>
        <w:t xml:space="preserve">Repair Responsibilities </w:t>
      </w:r>
    </w:p>
    <w:p w:rsidR="00F33763" w:rsidRDefault="00F33763">
      <w:pPr>
        <w:rPr>
          <w:rFonts w:ascii="Arial" w:hAnsi="Arial" w:cs="Arial"/>
          <w:sz w:val="24"/>
          <w:szCs w:val="24"/>
        </w:rPr>
      </w:pPr>
    </w:p>
    <w:p w:rsidR="00D174F4" w:rsidRDefault="00F33763">
      <w:pPr>
        <w:rPr>
          <w:rFonts w:ascii="Arial" w:hAnsi="Arial" w:cs="Arial"/>
          <w:b/>
          <w:sz w:val="24"/>
          <w:szCs w:val="24"/>
        </w:rPr>
      </w:pPr>
      <w:r w:rsidRPr="00D174F4">
        <w:rPr>
          <w:rFonts w:ascii="Arial" w:hAnsi="Arial" w:cs="Arial"/>
          <w:b/>
          <w:sz w:val="24"/>
          <w:szCs w:val="24"/>
        </w:rPr>
        <w:t>Who is responsible for repairs</w:t>
      </w:r>
      <w:r w:rsidR="00D174F4">
        <w:rPr>
          <w:rFonts w:ascii="Arial" w:hAnsi="Arial" w:cs="Arial"/>
          <w:b/>
          <w:sz w:val="24"/>
          <w:szCs w:val="24"/>
        </w:rPr>
        <w:t>?</w:t>
      </w:r>
    </w:p>
    <w:p w:rsidR="00F33763" w:rsidRDefault="00F3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responsible for maintaining the structure and outside of your home to a good standard. </w:t>
      </w:r>
    </w:p>
    <w:p w:rsidR="00F33763" w:rsidRDefault="00F3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responsible for the decoration inside your home and your own fixtures and fittings. The table</w:t>
      </w:r>
      <w:r w:rsidR="0012100F">
        <w:rPr>
          <w:rFonts w:ascii="Arial" w:hAnsi="Arial" w:cs="Arial"/>
          <w:sz w:val="24"/>
          <w:szCs w:val="24"/>
        </w:rPr>
        <w:t xml:space="preserve"> </w:t>
      </w:r>
      <w:r w:rsidR="00D174F4">
        <w:rPr>
          <w:rFonts w:ascii="Arial" w:hAnsi="Arial" w:cs="Arial"/>
          <w:sz w:val="24"/>
          <w:szCs w:val="24"/>
        </w:rPr>
        <w:t>here gives</w:t>
      </w:r>
      <w:r>
        <w:rPr>
          <w:rFonts w:ascii="Arial" w:hAnsi="Arial" w:cs="Arial"/>
          <w:sz w:val="24"/>
          <w:szCs w:val="24"/>
        </w:rPr>
        <w:t xml:space="preserve"> full </w:t>
      </w:r>
      <w:r w:rsidR="00D8385C">
        <w:rPr>
          <w:rFonts w:ascii="Arial" w:hAnsi="Arial" w:cs="Arial"/>
          <w:sz w:val="24"/>
          <w:szCs w:val="24"/>
        </w:rPr>
        <w:t xml:space="preserve">details </w:t>
      </w:r>
      <w:r w:rsidR="00D174F4">
        <w:rPr>
          <w:rFonts w:ascii="Arial" w:hAnsi="Arial" w:cs="Arial"/>
          <w:sz w:val="24"/>
          <w:szCs w:val="24"/>
        </w:rPr>
        <w:t>on who</w:t>
      </w:r>
      <w:r>
        <w:rPr>
          <w:rFonts w:ascii="Arial" w:hAnsi="Arial" w:cs="Arial"/>
          <w:sz w:val="24"/>
          <w:szCs w:val="24"/>
        </w:rPr>
        <w:t xml:space="preserve"> is responsible for repairs to various </w:t>
      </w:r>
      <w:r w:rsidR="00D174F4">
        <w:rPr>
          <w:rFonts w:ascii="Arial" w:hAnsi="Arial" w:cs="Arial"/>
          <w:sz w:val="24"/>
          <w:szCs w:val="24"/>
        </w:rPr>
        <w:t xml:space="preserve">in and around your home.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763" w:rsidRPr="00D174F4" w:rsidRDefault="00F33763">
      <w:pPr>
        <w:rPr>
          <w:rFonts w:ascii="Arial" w:hAnsi="Arial" w:cs="Arial"/>
          <w:b/>
          <w:sz w:val="24"/>
          <w:szCs w:val="24"/>
        </w:rPr>
      </w:pPr>
      <w:r w:rsidRPr="00D174F4">
        <w:rPr>
          <w:rFonts w:ascii="Arial" w:hAnsi="Arial" w:cs="Arial"/>
          <w:b/>
          <w:sz w:val="24"/>
          <w:szCs w:val="24"/>
        </w:rPr>
        <w:t>You are responsible for:</w:t>
      </w:r>
    </w:p>
    <w:p w:rsidR="00F33763" w:rsidRDefault="00F33763" w:rsidP="00F33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Informing us when repairs are needed</w:t>
      </w:r>
    </w:p>
    <w:p w:rsidR="00F33763" w:rsidRDefault="00F33763" w:rsidP="00F33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your garden area tidy and free of all rubbish</w:t>
      </w:r>
    </w:p>
    <w:p w:rsidR="00F33763" w:rsidRDefault="00F33763" w:rsidP="00F33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care to prevent damage once a repair has been identified</w:t>
      </w:r>
    </w:p>
    <w:p w:rsidR="00F33763" w:rsidRDefault="00F33763" w:rsidP="00F33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us access to your home to carry out an annual gas safety check and any inspections that are necessary</w:t>
      </w:r>
    </w:p>
    <w:p w:rsidR="00F33763" w:rsidRDefault="00F33763" w:rsidP="00F33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full responsibility for anything that you have had fitted yourself or for any damage caused by members of your household or visitors</w:t>
      </w: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295AB7" w:rsidRPr="00D174F4" w:rsidRDefault="00B31E78" w:rsidP="00510395">
      <w:pPr>
        <w:rPr>
          <w:rFonts w:ascii="Arial" w:hAnsi="Arial" w:cs="Arial"/>
          <w:b/>
          <w:sz w:val="24"/>
          <w:szCs w:val="24"/>
        </w:rPr>
      </w:pPr>
      <w:r w:rsidRPr="00D174F4">
        <w:rPr>
          <w:rFonts w:ascii="Arial" w:hAnsi="Arial" w:cs="Arial"/>
          <w:b/>
          <w:sz w:val="24"/>
          <w:szCs w:val="24"/>
        </w:rPr>
        <w:t>You can report your repairs:</w:t>
      </w:r>
    </w:p>
    <w:p w:rsidR="00B31E78" w:rsidRDefault="00B31E78" w:rsidP="00B31E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visiting our website </w:t>
      </w:r>
      <w:hyperlink r:id="rId9" w:history="1">
        <w:r w:rsidRPr="006A343D">
          <w:rPr>
            <w:rStyle w:val="Hyperlink"/>
            <w:rFonts w:ascii="Arial" w:hAnsi="Arial" w:cs="Arial"/>
            <w:sz w:val="24"/>
            <w:szCs w:val="24"/>
          </w:rPr>
          <w:t>www.alliancehomes.org.uk</w:t>
        </w:r>
      </w:hyperlink>
    </w:p>
    <w:p w:rsidR="00B31E78" w:rsidRDefault="00B31E78" w:rsidP="00B31E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emailing us at </w:t>
      </w:r>
      <w:hyperlink r:id="rId10" w:history="1">
        <w:r w:rsidRPr="006A343D">
          <w:rPr>
            <w:rStyle w:val="Hyperlink"/>
            <w:rFonts w:ascii="Arial" w:hAnsi="Arial" w:cs="Arial"/>
            <w:sz w:val="24"/>
            <w:szCs w:val="24"/>
          </w:rPr>
          <w:t>Hotline@alliancehomes.org.uk</w:t>
        </w:r>
      </w:hyperlink>
    </w:p>
    <w:p w:rsidR="00B31E78" w:rsidRDefault="00B31E78" w:rsidP="00B31E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calling us on 03000 120 120 (option </w:t>
      </w:r>
      <w:r w:rsidR="00D174F4">
        <w:rPr>
          <w:rFonts w:ascii="Arial" w:hAnsi="Arial" w:cs="Arial"/>
          <w:sz w:val="24"/>
          <w:szCs w:val="24"/>
        </w:rPr>
        <w:t>1)</w:t>
      </w: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D174F4" w:rsidRDefault="00D174F4" w:rsidP="00510395">
      <w:pPr>
        <w:rPr>
          <w:rFonts w:ascii="Arial" w:hAnsi="Arial" w:cs="Arial"/>
          <w:sz w:val="24"/>
          <w:szCs w:val="24"/>
        </w:rPr>
      </w:pPr>
    </w:p>
    <w:p w:rsidR="00D174F4" w:rsidRDefault="00D174F4" w:rsidP="00510395">
      <w:pPr>
        <w:rPr>
          <w:rFonts w:ascii="Arial" w:hAnsi="Arial" w:cs="Arial"/>
          <w:sz w:val="24"/>
          <w:szCs w:val="24"/>
        </w:rPr>
      </w:pPr>
    </w:p>
    <w:p w:rsidR="00D174F4" w:rsidRDefault="00D174F4" w:rsidP="00510395">
      <w:pPr>
        <w:rPr>
          <w:rFonts w:ascii="Arial" w:hAnsi="Arial" w:cs="Arial"/>
          <w:sz w:val="24"/>
          <w:szCs w:val="24"/>
        </w:rPr>
      </w:pPr>
    </w:p>
    <w:p w:rsidR="00D174F4" w:rsidRDefault="00D174F4" w:rsidP="00510395">
      <w:pPr>
        <w:rPr>
          <w:rFonts w:ascii="Arial" w:hAnsi="Arial" w:cs="Arial"/>
          <w:sz w:val="24"/>
          <w:szCs w:val="24"/>
        </w:rPr>
      </w:pP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C7167D" w:rsidRDefault="00C7167D" w:rsidP="00510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42"/>
        <w:gridCol w:w="1275"/>
        <w:gridCol w:w="2977"/>
      </w:tblGrid>
      <w:tr w:rsidR="00472ADC" w:rsidTr="0021416A">
        <w:tc>
          <w:tcPr>
            <w:tcW w:w="3652" w:type="dxa"/>
            <w:shd w:val="clear" w:color="auto" w:fill="B2A1C7" w:themeFill="accent4" w:themeFillTint="99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693" w:type="dxa"/>
            <w:gridSpan w:val="3"/>
            <w:shd w:val="clear" w:color="auto" w:fill="B2A1C7" w:themeFill="accent4" w:themeFillTint="99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responsible?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Exceptions </w:t>
            </w: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346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Banisters </w:t>
            </w:r>
            <w:r w:rsidR="0034606B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handrail (loose)</w:t>
            </w:r>
          </w:p>
          <w:p w:rsidR="00D174F4" w:rsidRDefault="00D174F4" w:rsidP="00346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and External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34606B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damaged or removed by a member of the household</w:t>
            </w: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 stores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34606B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collection of rubbish</w:t>
            </w:r>
          </w:p>
        </w:tc>
      </w:tr>
      <w:tr w:rsidR="00295AB7" w:rsidTr="0021416A">
        <w:tc>
          <w:tcPr>
            <w:tcW w:w="3652" w:type="dxa"/>
          </w:tcPr>
          <w:p w:rsidR="00295AB7" w:rsidRDefault="00295AB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Blocked toilets</w:t>
            </w:r>
            <w:r w:rsidR="00E823A1">
              <w:rPr>
                <w:rFonts w:ascii="Arial" w:hAnsi="Arial" w:cs="Arial"/>
                <w:sz w:val="24"/>
                <w:szCs w:val="24"/>
              </w:rPr>
              <w:t xml:space="preserve"> &amp; sinks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295AB7" w:rsidRDefault="00295AB7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295AB7" w:rsidRDefault="00295AB7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295AB7" w:rsidRDefault="00295AB7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Carpets</w:t>
            </w:r>
            <w:r w:rsidR="00A303A9">
              <w:rPr>
                <w:rFonts w:ascii="Arial" w:hAnsi="Arial" w:cs="Arial"/>
                <w:sz w:val="24"/>
                <w:szCs w:val="24"/>
              </w:rPr>
              <w:t xml:space="preserve"> (including strip’s)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85" w:rsidTr="0021416A">
        <w:tc>
          <w:tcPr>
            <w:tcW w:w="3652" w:type="dxa"/>
          </w:tcPr>
          <w:p w:rsidR="00F55785" w:rsidRDefault="00F55785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 flaps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F55785" w:rsidRDefault="00F55785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F55785" w:rsidRDefault="00F55785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F55785" w:rsidRDefault="00F55785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Ceilings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Heating system: solid fuel/gas/electric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Chimney (inc. pots and cowls)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Chimney sweeping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 detectors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A303A9" w:rsidP="00D83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where there is an open flued appliance</w:t>
            </w:r>
          </w:p>
        </w:tc>
      </w:tr>
      <w:tr w:rsidR="00472ADC" w:rsidTr="0021416A">
        <w:tc>
          <w:tcPr>
            <w:tcW w:w="3652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Cookers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472ADC" w:rsidP="00A30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</w:t>
            </w:r>
            <w:r w:rsidR="00A303A9">
              <w:rPr>
                <w:rFonts w:ascii="Arial" w:hAnsi="Arial" w:cs="Arial"/>
                <w:sz w:val="24"/>
                <w:szCs w:val="24"/>
              </w:rPr>
              <w:t>nal areas to flat</w:t>
            </w:r>
            <w:r w:rsidR="00D65A01">
              <w:rPr>
                <w:rFonts w:ascii="Arial" w:hAnsi="Arial" w:cs="Arial"/>
                <w:sz w:val="24"/>
                <w:szCs w:val="24"/>
              </w:rPr>
              <w:t>s</w:t>
            </w:r>
            <w:r w:rsidR="00A303A9">
              <w:rPr>
                <w:rFonts w:ascii="Arial" w:hAnsi="Arial" w:cs="Arial"/>
                <w:sz w:val="24"/>
                <w:szCs w:val="24"/>
              </w:rPr>
              <w:t xml:space="preserve"> -maintenance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A303A9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Communal areas to flat</w:t>
            </w:r>
            <w:r w:rsidR="00D65A0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 -cleaning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A303A9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472ADC" w:rsidRDefault="00A303A9" w:rsidP="00D65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Sheltered only or where service</w:t>
            </w:r>
            <w:r w:rsidR="00D65A01">
              <w:rPr>
                <w:rFonts w:ascii="Arial" w:hAnsi="Arial" w:cs="Arial"/>
                <w:sz w:val="24"/>
                <w:szCs w:val="24"/>
              </w:rPr>
              <w:t xml:space="preserve"> charges apply </w:t>
            </w:r>
          </w:p>
        </w:tc>
      </w:tr>
      <w:tr w:rsidR="00A303A9" w:rsidTr="0021416A">
        <w:tc>
          <w:tcPr>
            <w:tcW w:w="3652" w:type="dxa"/>
          </w:tcPr>
          <w:p w:rsidR="00A303A9" w:rsidRDefault="00A303A9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Communal TV aerials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A303A9" w:rsidRDefault="00A303A9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A303A9" w:rsidRDefault="00A303A9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3A9" w:rsidRDefault="00A303A9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Decoration -  external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Decoration – internal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Doorbell</w:t>
            </w:r>
            <w:r w:rsidR="00A303A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Doors -  </w:t>
            </w:r>
            <w:r w:rsidR="00D65A01">
              <w:rPr>
                <w:rFonts w:ascii="Arial" w:hAnsi="Arial" w:cs="Arial"/>
                <w:sz w:val="24"/>
                <w:szCs w:val="24"/>
              </w:rPr>
              <w:t xml:space="preserve">Internal &amp; </w:t>
            </w:r>
            <w:r>
              <w:rPr>
                <w:rFonts w:ascii="Arial" w:hAnsi="Arial" w:cs="Arial"/>
                <w:sz w:val="24"/>
                <w:szCs w:val="24"/>
              </w:rPr>
              <w:t>external (inc. hinges, frames and ironmongery)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D65A01" w:rsidP="00E82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damaged or removed by a member of the household</w:t>
            </w: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Doors -  internal adjustments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03129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031292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due to carpet fitting</w:t>
            </w: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locks -  external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BB4ED8" w:rsidP="00D83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</w:t>
            </w:r>
            <w:r w:rsidR="00E823A1">
              <w:rPr>
                <w:rFonts w:ascii="Arial" w:hAnsi="Arial" w:cs="Arial"/>
                <w:sz w:val="24"/>
                <w:szCs w:val="24"/>
              </w:rPr>
              <w:t xml:space="preserve">u have lost or broken your key you will be recharged </w:t>
            </w: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 pipe (soil/rain water)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EA4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Drainage (mains drains, not shared)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E823A1" w:rsidP="00E82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 s</w:t>
            </w:r>
            <w:r w:rsidR="008E0826">
              <w:rPr>
                <w:rFonts w:ascii="Arial" w:hAnsi="Arial" w:cs="Arial"/>
                <w:sz w:val="24"/>
                <w:szCs w:val="24"/>
              </w:rPr>
              <w:t>inks, toilets, wash hand basins</w:t>
            </w:r>
            <w:r w:rsidR="00031292">
              <w:rPr>
                <w:rFonts w:ascii="Arial" w:hAnsi="Arial" w:cs="Arial"/>
                <w:sz w:val="24"/>
                <w:szCs w:val="24"/>
              </w:rPr>
              <w:t>.  We will investigate and refer to your provider for any shared mains.</w:t>
            </w:r>
          </w:p>
        </w:tc>
      </w:tr>
      <w:tr w:rsidR="00E823A1" w:rsidTr="0021416A">
        <w:tc>
          <w:tcPr>
            <w:tcW w:w="3652" w:type="dxa"/>
          </w:tcPr>
          <w:p w:rsidR="00E823A1" w:rsidRDefault="00E823A1" w:rsidP="00EA4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 covers/manholes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E823A1" w:rsidRDefault="00E823A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E823A1" w:rsidRDefault="00E823A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23A1" w:rsidRDefault="00E823A1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Driveways 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you have arranged for this to be done</w:t>
            </w:r>
            <w:r w:rsidR="00D838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2ADC" w:rsidTr="0021416A">
        <w:tc>
          <w:tcPr>
            <w:tcW w:w="3652" w:type="dxa"/>
          </w:tcPr>
          <w:p w:rsidR="00472ADC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drying areas provided by us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472ADC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72ADC" w:rsidRDefault="00472ADC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ADC" w:rsidRDefault="00472ADC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30" w:rsidTr="0021416A">
        <w:tc>
          <w:tcPr>
            <w:tcW w:w="3652" w:type="dxa"/>
            <w:tcBorders>
              <w:bottom w:val="single" w:sz="4" w:space="0" w:color="auto"/>
            </w:tcBorders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appliances and plugs</w:t>
            </w:r>
          </w:p>
          <w:p w:rsidR="00D174F4" w:rsidRDefault="00D174F4" w:rsidP="0051039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4F4" w:rsidRDefault="00D174F4" w:rsidP="0051039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4F4" w:rsidRDefault="00D174F4" w:rsidP="0051039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4F4" w:rsidRDefault="00D174F4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A4A30" w:rsidRDefault="00EA4A30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A4A30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4D3B" w:rsidRDefault="00F54D3B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666" w:rsidTr="0021416A">
        <w:tc>
          <w:tcPr>
            <w:tcW w:w="3652" w:type="dxa"/>
            <w:shd w:val="clear" w:color="auto" w:fill="B2A1C7" w:themeFill="accent4" w:themeFillTint="99"/>
          </w:tcPr>
          <w:p w:rsidR="00C86666" w:rsidRDefault="00C8666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</w:t>
            </w:r>
          </w:p>
        </w:tc>
        <w:tc>
          <w:tcPr>
            <w:tcW w:w="2693" w:type="dxa"/>
            <w:gridSpan w:val="3"/>
            <w:shd w:val="clear" w:color="auto" w:fill="B2A1C7" w:themeFill="accent4" w:themeFillTint="99"/>
          </w:tcPr>
          <w:p w:rsidR="00C86666" w:rsidRDefault="00C8666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responsible?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C86666" w:rsidRDefault="00C8666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Exceptions</w:t>
            </w:r>
          </w:p>
        </w:tc>
      </w:tr>
      <w:tr w:rsidR="00C86666" w:rsidTr="0021416A">
        <w:tc>
          <w:tcPr>
            <w:tcW w:w="3652" w:type="dxa"/>
          </w:tcPr>
          <w:p w:rsidR="00C86666" w:rsidRDefault="00C8666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C86666" w:rsidRDefault="00C8666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C86666" w:rsidRDefault="00C8666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2977" w:type="dxa"/>
          </w:tcPr>
          <w:p w:rsidR="00C86666" w:rsidRDefault="00C8666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4A30" w:rsidTr="0021416A">
        <w:tc>
          <w:tcPr>
            <w:tcW w:w="3652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wiring (inc. sockets, switches, lighting, consumer unit and immersion heater)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EA4A30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EA4A30" w:rsidRDefault="00EA4A30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30" w:rsidTr="0021416A">
        <w:tc>
          <w:tcPr>
            <w:tcW w:w="3652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lighting (communal)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EA4A30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EA4A30" w:rsidRDefault="00EA4A30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30" w:rsidTr="0021416A">
        <w:tc>
          <w:tcPr>
            <w:tcW w:w="3652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systems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EA4A30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EA4A30" w:rsidRDefault="00EA4A30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30" w:rsidTr="0021416A">
        <w:tc>
          <w:tcPr>
            <w:tcW w:w="3652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footpaths, walls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EA4A30" w:rsidRDefault="004B07B8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EA4A30" w:rsidRDefault="00EA4A30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A30" w:rsidRDefault="00EA4A30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Fascia boards/soffit boards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Fence- boundary to road/path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Fence- dividing properties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alarms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Floorboards 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03129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031292" w:rsidP="0003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Floor </w:t>
            </w:r>
            <w:r w:rsidR="008E0826">
              <w:rPr>
                <w:rFonts w:ascii="Arial" w:hAnsi="Arial" w:cs="Arial"/>
                <w:sz w:val="24"/>
                <w:szCs w:val="24"/>
              </w:rPr>
              <w:t>vinyl</w:t>
            </w:r>
            <w:r w:rsidR="009B5AA5">
              <w:rPr>
                <w:rFonts w:ascii="Arial" w:hAnsi="Arial" w:cs="Arial"/>
                <w:sz w:val="24"/>
                <w:szCs w:val="24"/>
              </w:rPr>
              <w:t xml:space="preserve"> covering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Garages 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Garden- grass cutting, hedge trimming</w:t>
            </w:r>
            <w:r w:rsidR="009B5AA5">
              <w:rPr>
                <w:rFonts w:ascii="Arial" w:hAnsi="Arial" w:cs="Arial"/>
                <w:sz w:val="24"/>
                <w:szCs w:val="24"/>
              </w:rPr>
              <w:t>, trees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143AE2" w:rsidP="00F5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 sheltered schemes</w:t>
            </w:r>
          </w:p>
        </w:tc>
      </w:tr>
      <w:tr w:rsidR="008E0826" w:rsidTr="0021416A">
        <w:tc>
          <w:tcPr>
            <w:tcW w:w="3652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Garden sheds 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9B5AA5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supplied by us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Gates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servicing and repairs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E769B4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Cookers and your own appliances</w:t>
            </w:r>
            <w:r w:rsidR="00D174F4">
              <w:rPr>
                <w:rFonts w:ascii="Arial" w:hAnsi="Arial" w:cs="Arial"/>
                <w:sz w:val="24"/>
                <w:szCs w:val="24"/>
              </w:rPr>
              <w:t xml:space="preserve"> are not included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A9474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damaged or removed by a member of the household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Greenhouses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Guttering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Hatch to loft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Insulation to cold water tanks and pipe work in loft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E2" w:rsidTr="0021416A">
        <w:tc>
          <w:tcPr>
            <w:tcW w:w="3652" w:type="dxa"/>
          </w:tcPr>
          <w:p w:rsidR="00143AE2" w:rsidRDefault="00143AE2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Insurance- building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43AE2" w:rsidRDefault="00143AE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143AE2" w:rsidRDefault="00143AE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3AE2" w:rsidRDefault="00143AE2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E2" w:rsidTr="0021416A">
        <w:tc>
          <w:tcPr>
            <w:tcW w:w="3652" w:type="dxa"/>
          </w:tcPr>
          <w:p w:rsidR="00143AE2" w:rsidRDefault="00143AE2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Insurance- contents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43AE2" w:rsidRDefault="00143AE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143AE2" w:rsidRDefault="00143AE2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143AE2" w:rsidRDefault="00143AE2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Keys (replacement)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A9474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fittings </w:t>
            </w:r>
            <w:r w:rsidR="00306931">
              <w:rPr>
                <w:rFonts w:ascii="Arial" w:hAnsi="Arial" w:cs="Arial"/>
                <w:sz w:val="24"/>
                <w:szCs w:val="24"/>
              </w:rPr>
              <w:t>(inc. doors, draws &amp; fittings)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A9474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damaged or removed by a member of the household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Laminate flooring</w:t>
            </w:r>
          </w:p>
          <w:p w:rsidR="00F0604C" w:rsidRPr="00252732" w:rsidRDefault="00F0604C" w:rsidP="00510395">
            <w:pPr>
              <w:rPr>
                <w:rFonts w:ascii="Arial" w:hAnsi="Arial" w:cs="Arial"/>
                <w:sz w:val="20"/>
                <w:szCs w:val="20"/>
              </w:rPr>
            </w:pPr>
            <w:r w:rsidRPr="00252732">
              <w:rPr>
                <w:rFonts w:ascii="Arial" w:hAnsi="Arial" w:cs="Arial"/>
                <w:sz w:val="20"/>
                <w:szCs w:val="20"/>
              </w:rPr>
              <w:t>*we will not be responsible for your laminate flooring where we have to disturb to carry out a repair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E769B4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Permission must be given before flooring is laid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Lifts and stair lifts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bulbs</w:t>
            </w:r>
            <w:r w:rsidR="00A94747">
              <w:rPr>
                <w:rFonts w:ascii="Arial" w:hAnsi="Arial" w:cs="Arial"/>
                <w:sz w:val="24"/>
                <w:szCs w:val="24"/>
              </w:rPr>
              <w:t xml:space="preserve"> &amp; fluorescent tubes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A9474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Lights-</w:t>
            </w:r>
            <w:r w:rsidR="00306931">
              <w:rPr>
                <w:rFonts w:ascii="Arial" w:hAnsi="Arial" w:cs="Arial"/>
                <w:sz w:val="24"/>
                <w:szCs w:val="24"/>
              </w:rPr>
              <w:t xml:space="preserve"> sealed units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A94747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01" w:rsidTr="0021416A">
        <w:tc>
          <w:tcPr>
            <w:tcW w:w="3652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Meters – Gas &amp; Electric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D65A01" w:rsidRDefault="00844C1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need to contact your supplier</w:t>
            </w:r>
          </w:p>
        </w:tc>
      </w:tr>
      <w:tr w:rsidR="00295AB7" w:rsidTr="0021416A">
        <w:tc>
          <w:tcPr>
            <w:tcW w:w="3652" w:type="dxa"/>
          </w:tcPr>
          <w:p w:rsidR="00295AB7" w:rsidRDefault="00295AB7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Mirrors and towel rails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95AB7" w:rsidRDefault="00295AB7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95AB7" w:rsidRDefault="00295AB7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295AB7" w:rsidRDefault="00295AB7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Overflow pipes 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areas (communal)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  <w:tcBorders>
              <w:bottom w:val="single" w:sz="4" w:space="0" w:color="auto"/>
            </w:tcBorders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Pests &amp; vermin</w:t>
            </w:r>
          </w:p>
          <w:p w:rsidR="00C7167D" w:rsidRDefault="00C7167D" w:rsidP="005103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67D" w:rsidRDefault="00C7167D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1E78" w:rsidRDefault="00A94747" w:rsidP="00F6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Unless in communal areas </w:t>
            </w:r>
            <w:r w:rsidR="00D174F4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9B4">
              <w:rPr>
                <w:rFonts w:ascii="Arial" w:hAnsi="Arial" w:cs="Arial"/>
                <w:sz w:val="24"/>
                <w:szCs w:val="24"/>
              </w:rPr>
              <w:t>Sheltered</w:t>
            </w:r>
            <w:r w:rsidR="00F60494">
              <w:rPr>
                <w:rFonts w:ascii="Arial" w:hAnsi="Arial" w:cs="Arial"/>
                <w:sz w:val="24"/>
                <w:szCs w:val="24"/>
              </w:rPr>
              <w:t xml:space="preserve"> accommodation</w:t>
            </w:r>
          </w:p>
        </w:tc>
      </w:tr>
      <w:tr w:rsidR="00143AE2" w:rsidTr="0021416A">
        <w:tc>
          <w:tcPr>
            <w:tcW w:w="3652" w:type="dxa"/>
            <w:shd w:val="clear" w:color="auto" w:fill="B2A1C7" w:themeFill="accent4" w:themeFillTint="99"/>
          </w:tcPr>
          <w:p w:rsidR="00143AE2" w:rsidRDefault="00143AE2" w:rsidP="00D3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693" w:type="dxa"/>
            <w:gridSpan w:val="3"/>
            <w:shd w:val="clear" w:color="auto" w:fill="B2A1C7" w:themeFill="accent4" w:themeFillTint="99"/>
          </w:tcPr>
          <w:p w:rsidR="00143AE2" w:rsidRDefault="00143AE2" w:rsidP="00D33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responsible?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43AE2" w:rsidRDefault="00143AE2" w:rsidP="00D3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Exceptions </w:t>
            </w:r>
          </w:p>
        </w:tc>
      </w:tr>
      <w:tr w:rsidR="00143AE2" w:rsidTr="0021416A">
        <w:tc>
          <w:tcPr>
            <w:tcW w:w="3652" w:type="dxa"/>
          </w:tcPr>
          <w:p w:rsidR="00143AE2" w:rsidRDefault="00143AE2" w:rsidP="00D33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143AE2" w:rsidRDefault="00143AE2" w:rsidP="00D33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143AE2" w:rsidRDefault="00143AE2" w:rsidP="00D33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2977" w:type="dxa"/>
          </w:tcPr>
          <w:p w:rsidR="00143AE2" w:rsidRDefault="00143AE2" w:rsidP="00D33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Plaster (plasterboard)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areas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Retaining walls in garden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01" w:rsidTr="0021416A">
        <w:tc>
          <w:tcPr>
            <w:tcW w:w="3652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Resetting electric trip switches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 (inc. tiles &amp; slates)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 light (skylights)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Satellite dishes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lighting (external)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Shower unit 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 detectors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 furnishings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 panels on roof (PV)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Spin/tumble dryers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E45B95" w:rsidP="00E45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Unless </w:t>
            </w:r>
            <w:r w:rsidR="00E769B4">
              <w:rPr>
                <w:rFonts w:ascii="Arial" w:hAnsi="Arial" w:cs="Arial"/>
                <w:sz w:val="24"/>
                <w:szCs w:val="24"/>
              </w:rPr>
              <w:t>provided by us in communal areas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Stairs/steps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Stair lighting (communal)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seats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aerial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E769B4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Communal areas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Washers on taps and ball valves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01" w:rsidTr="0021416A">
        <w:tc>
          <w:tcPr>
            <w:tcW w:w="3652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lines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machine</w:t>
            </w:r>
            <w:r w:rsidR="000A0CEA">
              <w:rPr>
                <w:rFonts w:ascii="Arial" w:hAnsi="Arial" w:cs="Arial"/>
                <w:sz w:val="24"/>
                <w:szCs w:val="24"/>
              </w:rPr>
              <w:t xml:space="preserve"> (including hot &amp; cold water supply)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8E0826" w:rsidRDefault="00E769B4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Communal areas</w:t>
            </w: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supply (inc. taps, valves and stop taps). Hot &amp; cold storage tanks and pipes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26" w:rsidTr="0021416A">
        <w:tc>
          <w:tcPr>
            <w:tcW w:w="3652" w:type="dxa"/>
          </w:tcPr>
          <w:p w:rsidR="008E0826" w:rsidRDefault="0030693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 frames</w:t>
            </w:r>
            <w:r w:rsidR="00CC4801">
              <w:rPr>
                <w:rFonts w:ascii="Arial" w:hAnsi="Arial" w:cs="Arial"/>
                <w:sz w:val="24"/>
                <w:szCs w:val="24"/>
              </w:rPr>
              <w:t xml:space="preserve"> &amp; fittings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8E0826" w:rsidRDefault="0030693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E0826" w:rsidRDefault="008E0826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826" w:rsidRDefault="008E0826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01" w:rsidTr="0021416A">
        <w:tc>
          <w:tcPr>
            <w:tcW w:w="3652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Worktops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D65A01" w:rsidRDefault="00D65A01" w:rsidP="0047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977" w:type="dxa"/>
          </w:tcPr>
          <w:p w:rsidR="00D65A01" w:rsidRDefault="00D65A01" w:rsidP="005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395" w:rsidRDefault="00510395" w:rsidP="00510395">
      <w:pPr>
        <w:rPr>
          <w:rFonts w:ascii="Arial" w:hAnsi="Arial" w:cs="Arial"/>
          <w:sz w:val="24"/>
          <w:szCs w:val="24"/>
        </w:rPr>
      </w:pPr>
    </w:p>
    <w:p w:rsidR="00CC4801" w:rsidRPr="00CC4801" w:rsidRDefault="00CC4801" w:rsidP="00510395">
      <w:pPr>
        <w:rPr>
          <w:rFonts w:ascii="Arial" w:hAnsi="Arial" w:cs="Arial"/>
          <w:b/>
          <w:sz w:val="24"/>
          <w:szCs w:val="24"/>
        </w:rPr>
      </w:pPr>
      <w:r w:rsidRPr="00CC4801">
        <w:rPr>
          <w:rFonts w:ascii="Arial" w:hAnsi="Arial" w:cs="Arial"/>
          <w:b/>
          <w:sz w:val="24"/>
          <w:szCs w:val="24"/>
        </w:rPr>
        <w:t xml:space="preserve">If you have any queries or are unsure about anything, please call </w:t>
      </w:r>
      <w:r w:rsidR="001506E0">
        <w:rPr>
          <w:rFonts w:ascii="Arial" w:hAnsi="Arial" w:cs="Arial"/>
          <w:b/>
          <w:sz w:val="24"/>
          <w:szCs w:val="24"/>
        </w:rPr>
        <w:t>us on 03000 120 120 (option 1)</w:t>
      </w:r>
      <w:r w:rsidRPr="00CC4801">
        <w:rPr>
          <w:rFonts w:ascii="Arial" w:hAnsi="Arial" w:cs="Arial"/>
          <w:b/>
          <w:sz w:val="24"/>
          <w:szCs w:val="24"/>
        </w:rPr>
        <w:t xml:space="preserve"> for help and advice. </w:t>
      </w:r>
    </w:p>
    <w:sectPr w:rsidR="00CC4801" w:rsidRPr="00CC4801" w:rsidSect="00F60494">
      <w:headerReference w:type="default" r:id="rId11"/>
      <w:footerReference w:type="default" r:id="rId12"/>
      <w:pgSz w:w="11906" w:h="16838"/>
      <w:pgMar w:top="1191" w:right="1440" w:bottom="133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A" w:rsidRDefault="00611F6A" w:rsidP="003E5D40">
      <w:pPr>
        <w:spacing w:after="0" w:line="240" w:lineRule="auto"/>
      </w:pPr>
      <w:r>
        <w:separator/>
      </w:r>
    </w:p>
  </w:endnote>
  <w:endnote w:type="continuationSeparator" w:id="0">
    <w:p w:rsidR="00611F6A" w:rsidRDefault="00611F6A" w:rsidP="003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D40" w:rsidRDefault="003E5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D40" w:rsidRDefault="003E5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A" w:rsidRDefault="00611F6A" w:rsidP="003E5D40">
      <w:pPr>
        <w:spacing w:after="0" w:line="240" w:lineRule="auto"/>
      </w:pPr>
      <w:r>
        <w:separator/>
      </w:r>
    </w:p>
  </w:footnote>
  <w:footnote w:type="continuationSeparator" w:id="0">
    <w:p w:rsidR="00611F6A" w:rsidRDefault="00611F6A" w:rsidP="003E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66" w:rsidRDefault="00C86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68"/>
    <w:multiLevelType w:val="hybridMultilevel"/>
    <w:tmpl w:val="D7882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82BFC"/>
    <w:multiLevelType w:val="hybridMultilevel"/>
    <w:tmpl w:val="376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122C"/>
    <w:multiLevelType w:val="hybridMultilevel"/>
    <w:tmpl w:val="C20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72A6"/>
    <w:multiLevelType w:val="hybridMultilevel"/>
    <w:tmpl w:val="5B0AE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9"/>
    <w:rsid w:val="00010596"/>
    <w:rsid w:val="00031292"/>
    <w:rsid w:val="0008759E"/>
    <w:rsid w:val="000A0CEA"/>
    <w:rsid w:val="000F3C0D"/>
    <w:rsid w:val="0012100F"/>
    <w:rsid w:val="00143AE2"/>
    <w:rsid w:val="001506E0"/>
    <w:rsid w:val="001D57C3"/>
    <w:rsid w:val="0021416A"/>
    <w:rsid w:val="00220F8C"/>
    <w:rsid w:val="00252732"/>
    <w:rsid w:val="00290EE1"/>
    <w:rsid w:val="00295AB7"/>
    <w:rsid w:val="00306931"/>
    <w:rsid w:val="00310D3D"/>
    <w:rsid w:val="0034606B"/>
    <w:rsid w:val="003E5D40"/>
    <w:rsid w:val="004050C2"/>
    <w:rsid w:val="00432D36"/>
    <w:rsid w:val="00472ADC"/>
    <w:rsid w:val="00481BD7"/>
    <w:rsid w:val="004B07B8"/>
    <w:rsid w:val="004C7ACA"/>
    <w:rsid w:val="004D013F"/>
    <w:rsid w:val="00510395"/>
    <w:rsid w:val="00611F6A"/>
    <w:rsid w:val="006523BC"/>
    <w:rsid w:val="00763B6A"/>
    <w:rsid w:val="00844C11"/>
    <w:rsid w:val="008E0826"/>
    <w:rsid w:val="00933899"/>
    <w:rsid w:val="009B5AA5"/>
    <w:rsid w:val="00A303A9"/>
    <w:rsid w:val="00A94747"/>
    <w:rsid w:val="00B224AF"/>
    <w:rsid w:val="00B31E78"/>
    <w:rsid w:val="00B41FBE"/>
    <w:rsid w:val="00BB4ED8"/>
    <w:rsid w:val="00BF3A21"/>
    <w:rsid w:val="00C15EA9"/>
    <w:rsid w:val="00C7167D"/>
    <w:rsid w:val="00C86666"/>
    <w:rsid w:val="00CC4801"/>
    <w:rsid w:val="00D174F4"/>
    <w:rsid w:val="00D65A01"/>
    <w:rsid w:val="00D65E5F"/>
    <w:rsid w:val="00D8385C"/>
    <w:rsid w:val="00E35C44"/>
    <w:rsid w:val="00E45B95"/>
    <w:rsid w:val="00E769B4"/>
    <w:rsid w:val="00E823A1"/>
    <w:rsid w:val="00EA4A30"/>
    <w:rsid w:val="00EA529A"/>
    <w:rsid w:val="00EB66DE"/>
    <w:rsid w:val="00F0604C"/>
    <w:rsid w:val="00F33763"/>
    <w:rsid w:val="00F54D3B"/>
    <w:rsid w:val="00F55785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63"/>
    <w:pPr>
      <w:ind w:left="720"/>
      <w:contextualSpacing/>
    </w:pPr>
  </w:style>
  <w:style w:type="table" w:styleId="TableGrid">
    <w:name w:val="Table Grid"/>
    <w:basedOn w:val="TableNormal"/>
    <w:uiPriority w:val="59"/>
    <w:rsid w:val="0051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40"/>
  </w:style>
  <w:style w:type="paragraph" w:styleId="Footer">
    <w:name w:val="footer"/>
    <w:basedOn w:val="Normal"/>
    <w:link w:val="FooterChar"/>
    <w:uiPriority w:val="99"/>
    <w:unhideWhenUsed/>
    <w:rsid w:val="003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40"/>
  </w:style>
  <w:style w:type="character" w:styleId="Hyperlink">
    <w:name w:val="Hyperlink"/>
    <w:basedOn w:val="DefaultParagraphFont"/>
    <w:uiPriority w:val="99"/>
    <w:unhideWhenUsed/>
    <w:rsid w:val="00B31E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63"/>
    <w:pPr>
      <w:ind w:left="720"/>
      <w:contextualSpacing/>
    </w:pPr>
  </w:style>
  <w:style w:type="table" w:styleId="TableGrid">
    <w:name w:val="Table Grid"/>
    <w:basedOn w:val="TableNormal"/>
    <w:uiPriority w:val="59"/>
    <w:rsid w:val="0051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40"/>
  </w:style>
  <w:style w:type="paragraph" w:styleId="Footer">
    <w:name w:val="footer"/>
    <w:basedOn w:val="Normal"/>
    <w:link w:val="FooterChar"/>
    <w:uiPriority w:val="99"/>
    <w:unhideWhenUsed/>
    <w:rsid w:val="003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40"/>
  </w:style>
  <w:style w:type="character" w:styleId="Hyperlink">
    <w:name w:val="Hyperlink"/>
    <w:basedOn w:val="DefaultParagraphFont"/>
    <w:uiPriority w:val="99"/>
    <w:unhideWhenUsed/>
    <w:rsid w:val="00B31E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tline@alliancehome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iancehom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1656-CD8C-4CD6-8935-75416F53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Homes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Hitchcock</dc:creator>
  <cp:lastModifiedBy>Jasmine Forsdyke</cp:lastModifiedBy>
  <cp:revision>2</cp:revision>
  <dcterms:created xsi:type="dcterms:W3CDTF">2016-02-22T09:22:00Z</dcterms:created>
  <dcterms:modified xsi:type="dcterms:W3CDTF">2016-02-22T09:22:00Z</dcterms:modified>
</cp:coreProperties>
</file>